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61" w:afterLines="50" w:line="560" w:lineRule="exact"/>
        <w:ind w:firstLine="0"/>
        <w:rPr>
          <w:rFonts w:ascii="仿宋_GB2312" w:hAnsi="仿宋_GB2312" w:cs="仿宋_GB2312"/>
          <w:szCs w:val="32"/>
        </w:rPr>
      </w:pPr>
      <w:r>
        <w:rPr>
          <w:rFonts w:hint="eastAsia" w:ascii="仿宋_GB2312" w:hAnsi="仿宋_GB2312" w:cs="仿宋_GB2312"/>
          <w:szCs w:val="32"/>
        </w:rPr>
        <w:t>附件1</w:t>
      </w:r>
    </w:p>
    <w:p>
      <w:pPr>
        <w:pStyle w:val="2"/>
        <w:spacing w:after="161" w:afterLines="50" w:line="560" w:lineRule="exact"/>
        <w:ind w:firstLine="0"/>
        <w:jc w:val="center"/>
        <w:rPr>
          <w:rFonts w:ascii="方正小标宋简体" w:hAnsi="方正小标宋简体" w:eastAsia="方正小标宋简体" w:cs="方正小标宋简体"/>
          <w:sz w:val="44"/>
          <w:szCs w:val="44"/>
        </w:rPr>
      </w:pPr>
      <w:r>
        <w:rPr>
          <w:rFonts w:hint="eastAsia" w:ascii="小标宋" w:hAnsi="小标宋" w:eastAsia="小标宋" w:cs="小标宋"/>
          <w:sz w:val="44"/>
          <w:szCs w:val="44"/>
        </w:rPr>
        <w:t>中国能建广西工程局公开竞聘岗位及资格条件一览表</w:t>
      </w:r>
    </w:p>
    <w:tbl>
      <w:tblPr>
        <w:tblStyle w:val="8"/>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64"/>
        <w:gridCol w:w="885"/>
        <w:gridCol w:w="4773"/>
        <w:gridCol w:w="531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1"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477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5315"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817"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41" w:type="dxa"/>
            <w:vAlign w:val="center"/>
          </w:tcPr>
          <w:p>
            <w:pPr>
              <w:widowControl/>
              <w:jc w:val="center"/>
              <w:rPr>
                <w:rFonts w:ascii="仿宋_GB2312" w:eastAsia="仿宋_GB2312"/>
                <w:sz w:val="24"/>
                <w:szCs w:val="24"/>
              </w:rPr>
            </w:pPr>
            <w:r>
              <w:rPr>
                <w:rFonts w:hint="eastAsia" w:ascii="仿宋_GB2312" w:hAnsi="宋体" w:eastAsia="仿宋_GB2312" w:cs="仿宋_GB2312"/>
                <w:color w:val="000000"/>
                <w:kern w:val="0"/>
                <w:sz w:val="24"/>
                <w:szCs w:val="24"/>
              </w:rPr>
              <w:t>1</w:t>
            </w:r>
          </w:p>
        </w:tc>
        <w:tc>
          <w:tcPr>
            <w:tcW w:w="1364" w:type="dxa"/>
            <w:vAlign w:val="center"/>
          </w:tcPr>
          <w:p>
            <w:pPr>
              <w:widowControl/>
              <w:rPr>
                <w:rFonts w:ascii="仿宋_GB2312" w:eastAsia="仿宋_GB2312"/>
                <w:sz w:val="24"/>
                <w:szCs w:val="24"/>
                <w:highlight w:val="none"/>
              </w:rPr>
            </w:pPr>
            <w:r>
              <w:rPr>
                <w:rFonts w:hint="eastAsia" w:ascii="仿宋_GB2312" w:hAnsi="宋体" w:eastAsia="仿宋_GB2312" w:cs="仿宋_GB2312"/>
                <w:kern w:val="0"/>
                <w:sz w:val="24"/>
                <w:szCs w:val="24"/>
                <w:highlight w:val="none"/>
              </w:rPr>
              <w:t>中国能源建设集团广西水电工程局有限公司菲律宾伊拉甘3A水电站设计标项目部经理</w:t>
            </w:r>
          </w:p>
        </w:tc>
        <w:tc>
          <w:tcPr>
            <w:tcW w:w="885" w:type="dxa"/>
            <w:vAlign w:val="center"/>
          </w:tcPr>
          <w:p>
            <w:pPr>
              <w:widowControl/>
              <w:jc w:val="center"/>
              <w:rPr>
                <w:rFonts w:ascii="仿宋_GB2312" w:hAnsi="仿宋_GB2312" w:eastAsia="仿宋_GB2312" w:cs="仿宋_GB2312"/>
                <w:sz w:val="24"/>
                <w:szCs w:val="24"/>
                <w:highlight w:val="none"/>
              </w:rPr>
            </w:pPr>
            <w:r>
              <w:rPr>
                <w:rFonts w:hint="eastAsia" w:ascii="仿宋_GB2312" w:hAnsi="宋体" w:eastAsia="仿宋_GB2312" w:cs="仿宋_GB2312"/>
                <w:kern w:val="0"/>
                <w:sz w:val="24"/>
                <w:szCs w:val="24"/>
                <w:highlight w:val="none"/>
              </w:rPr>
              <w:t>1人</w:t>
            </w:r>
          </w:p>
        </w:tc>
        <w:tc>
          <w:tcPr>
            <w:tcW w:w="4773" w:type="dxa"/>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1.相关专业大学专科及以上文化程度。</w:t>
            </w:r>
          </w:p>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2.相关专业中级及以上职称或相关职(执)业资格。</w:t>
            </w:r>
          </w:p>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r>
              <w:rPr>
                <w:rFonts w:hint="eastAsia" w:ascii="仿宋_GB2312" w:hAnsi="仿宋_GB2312" w:eastAsia="仿宋_GB2312" w:cs="仿宋_GB2312"/>
                <w:kern w:val="0"/>
                <w:sz w:val="24"/>
                <w:szCs w:val="24"/>
                <w:highlight w:val="none"/>
                <w:lang w:val="en-US" w:eastAsia="zh-CN"/>
              </w:rPr>
              <w:t>具有</w:t>
            </w:r>
            <w:r>
              <w:rPr>
                <w:rFonts w:hint="eastAsia" w:ascii="仿宋_GB2312" w:hAnsi="仿宋_GB2312" w:eastAsia="仿宋_GB2312" w:cs="仿宋_GB2312"/>
                <w:kern w:val="0"/>
                <w:sz w:val="24"/>
                <w:szCs w:val="24"/>
                <w:highlight w:val="none"/>
              </w:rPr>
              <w:t>5年以上工程施工企业相关工作经历，</w:t>
            </w:r>
            <w:r>
              <w:rPr>
                <w:rFonts w:hint="eastAsia" w:ascii="仿宋_GB2312" w:hAnsi="仿宋_GB2312" w:eastAsia="仿宋_GB2312" w:cs="仿宋_GB2312"/>
                <w:kern w:val="0"/>
                <w:sz w:val="24"/>
                <w:szCs w:val="24"/>
                <w:highlight w:val="none"/>
                <w:lang w:val="en-US" w:eastAsia="zh-CN"/>
              </w:rPr>
              <w:t>一定的</w:t>
            </w:r>
            <w:r>
              <w:rPr>
                <w:rFonts w:hint="eastAsia" w:ascii="仿宋_GB2312" w:hAnsi="仿宋_GB2312" w:eastAsia="仿宋_GB2312" w:cs="仿宋_GB2312"/>
                <w:kern w:val="0"/>
                <w:sz w:val="24"/>
                <w:szCs w:val="24"/>
                <w:highlight w:val="none"/>
              </w:rPr>
              <w:t>商务管理知识。</w:t>
            </w:r>
            <w:r>
              <w:rPr>
                <w:rFonts w:hint="eastAsia" w:ascii="仿宋_GB2312" w:hAnsi="宋体" w:eastAsia="仿宋_GB2312" w:cs="仿宋_GB2312"/>
                <w:kern w:val="0"/>
                <w:sz w:val="24"/>
                <w:szCs w:val="24"/>
                <w:highlight w:val="none"/>
              </w:rPr>
              <w:t>具有国际项目工程施工管理经验者优先。</w:t>
            </w:r>
          </w:p>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4.一级建造师担任项目班子副职2年及以上，或担任过所属单位直属机构正职（含同层级岗位）2年及以上，且担任过项目班子副职1年及以上。</w:t>
            </w:r>
          </w:p>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5.二级建造师担任项目经理1年以上且担任项目班子副职2年以上，或担任过所属单位直属机构正职（含同层级岗位）2年及以上，且担任过项目班子副职2年及以上</w:t>
            </w:r>
          </w:p>
          <w:p>
            <w:pPr>
              <w:widowControl/>
              <w:rPr>
                <w:rFonts w:ascii="仿宋_GB2312"/>
                <w:sz w:val="24"/>
                <w:szCs w:val="24"/>
                <w:highlight w:val="none"/>
              </w:rPr>
            </w:pPr>
            <w:r>
              <w:rPr>
                <w:rFonts w:hint="eastAsia" w:ascii="仿宋_GB2312" w:hAnsi="仿宋_GB2312" w:eastAsia="仿宋_GB2312" w:cs="仿宋_GB2312"/>
                <w:kern w:val="0"/>
                <w:sz w:val="24"/>
                <w:szCs w:val="24"/>
                <w:highlight w:val="none"/>
              </w:rPr>
              <w:t>6.具有较好的计划能力、综合协调能力、组织沟通能力。</w:t>
            </w:r>
          </w:p>
        </w:tc>
        <w:tc>
          <w:tcPr>
            <w:tcW w:w="5315" w:type="dxa"/>
            <w:vAlign w:val="center"/>
          </w:tcPr>
          <w:p>
            <w:pPr>
              <w:spacing w:line="30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1.主持伊拉甘3A项目设计</w:t>
            </w:r>
            <w:r>
              <w:rPr>
                <w:rFonts w:hint="eastAsia" w:ascii="仿宋_GB2312" w:hAnsi="仿宋_GB2312" w:eastAsia="仿宋_GB2312" w:cs="仿宋_GB2312"/>
                <w:sz w:val="24"/>
                <w:highlight w:val="none"/>
                <w:u w:val="none"/>
              </w:rPr>
              <w:t>管理工作</w:t>
            </w:r>
            <w:r>
              <w:rPr>
                <w:rFonts w:hint="eastAsia" w:ascii="仿宋_GB2312" w:hAnsi="仿宋_GB2312" w:eastAsia="仿宋_GB2312" w:cs="仿宋_GB2312"/>
                <w:sz w:val="24"/>
                <w:szCs w:val="24"/>
                <w:highlight w:val="none"/>
              </w:rPr>
              <w:t>，负责项目合同履约的全面工作。</w:t>
            </w:r>
          </w:p>
          <w:p>
            <w:pPr>
              <w:pStyle w:val="3"/>
              <w:spacing w:after="0" w:line="300" w:lineRule="exact"/>
              <w:ind w:left="0" w:leftChars="0"/>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2.负责贯彻执行国家相关法律法规</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上级</w:t>
            </w:r>
            <w:r>
              <w:rPr>
                <w:rFonts w:hint="eastAsia" w:ascii="仿宋_GB2312" w:hAnsi="仿宋_GB2312" w:eastAsia="仿宋_GB2312" w:cs="仿宋_GB2312"/>
                <w:sz w:val="24"/>
                <w:szCs w:val="24"/>
                <w:highlight w:val="none"/>
              </w:rPr>
              <w:t>和公司的各项管理制度。</w:t>
            </w:r>
          </w:p>
          <w:p>
            <w:pPr>
              <w:spacing w:line="30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3.负责落实公司质量、环境、职业健康安全方针和总体目标，主持制定项目质量、环境、职业健康安全目标。</w:t>
            </w:r>
          </w:p>
          <w:p>
            <w:pPr>
              <w:pStyle w:val="3"/>
              <w:spacing w:after="0" w:line="300" w:lineRule="exact"/>
              <w:ind w:left="0" w:leftChars="0"/>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4.严格履行与建设单位签订的合同和与公司签订的项目管理目标责任书，确保项目目标的实现。</w:t>
            </w:r>
          </w:p>
          <w:p>
            <w:pPr>
              <w:pStyle w:val="3"/>
              <w:spacing w:after="0" w:line="240" w:lineRule="auto"/>
              <w:ind w:left="0" w:leftChars="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5.组织并推动工程方案设计、设计成果和设计变更评审、设计难题解决、设计总结与评价，全面把控设计进度和设计质量，并配合公司做好验收计价工作。</w:t>
            </w:r>
          </w:p>
          <w:p>
            <w:pPr>
              <w:pStyle w:val="3"/>
              <w:spacing w:after="0" w:line="300" w:lineRule="exact"/>
              <w:ind w:left="0" w:leftChars="0"/>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6.负责对项目的人力、材料、机械设备、资金、技术、信息等资源进行</w:t>
            </w:r>
            <w:bookmarkStart w:id="0" w:name="_GoBack"/>
            <w:bookmarkEnd w:id="0"/>
            <w:r>
              <w:rPr>
                <w:rFonts w:hint="eastAsia" w:ascii="仿宋_GB2312" w:hAnsi="仿宋_GB2312" w:eastAsia="仿宋_GB2312" w:cs="仿宋_GB2312"/>
                <w:sz w:val="24"/>
                <w:szCs w:val="24"/>
                <w:highlight w:val="none"/>
              </w:rPr>
              <w:t>优化配置和动态管理，推广和应用新技术、新工艺、新材料。</w:t>
            </w:r>
          </w:p>
          <w:p>
            <w:pPr>
              <w:spacing w:line="30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7.严格执行财务制度，建立成本控制体系，加强成本管理，做好经济分析和核算。</w:t>
            </w:r>
          </w:p>
          <w:p>
            <w:pPr>
              <w:pStyle w:val="3"/>
              <w:spacing w:after="0" w:line="300" w:lineRule="exact"/>
              <w:ind w:left="0" w:leftChars="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r>
              <w:rPr>
                <w:rFonts w:hint="eastAsia" w:ascii="仿宋_GB2312" w:hAnsi="仿宋_GB2312" w:eastAsia="仿宋_GB2312" w:cs="仿宋_GB2312"/>
                <w:sz w:val="24"/>
                <w:szCs w:val="24"/>
                <w:highlight w:val="none"/>
                <w:lang w:val="en-US" w:eastAsia="zh-CN"/>
              </w:rPr>
              <w:t>负责</w:t>
            </w:r>
            <w:r>
              <w:rPr>
                <w:rFonts w:hint="eastAsia" w:ascii="仿宋_GB2312" w:hAnsi="仿宋_GB2312" w:eastAsia="仿宋_GB2312" w:cs="仿宋_GB2312"/>
                <w:sz w:val="24"/>
                <w:szCs w:val="24"/>
                <w:highlight w:val="none"/>
              </w:rPr>
              <w:t>项目现场文明施工，及时发现和妥善处理突发性事件，协调处理项目内部和外部事项。</w:t>
            </w:r>
          </w:p>
        </w:tc>
        <w:tc>
          <w:tcPr>
            <w:tcW w:w="817" w:type="dxa"/>
            <w:vAlign w:val="center"/>
          </w:tcPr>
          <w:p>
            <w:pPr>
              <w:jc w:val="center"/>
              <w:rPr>
                <w:rFonts w:ascii="仿宋_GB2312"/>
                <w:sz w:val="28"/>
                <w:szCs w:val="28"/>
              </w:rPr>
            </w:pPr>
          </w:p>
        </w:tc>
      </w:tr>
    </w:tbl>
    <w:p/>
    <w:sectPr>
      <w:footerReference r:id="rId3" w:type="default"/>
      <w:pgSz w:w="16838" w:h="11906" w:orient="landscape"/>
      <w:pgMar w:top="1587" w:right="1474" w:bottom="1587" w:left="1587" w:header="851" w:footer="992" w:gutter="0"/>
      <w:pgNumType w:fmt="numberInDash"/>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-198755</wp:posOffset>
              </wp:positionV>
              <wp:extent cx="448945" cy="223520"/>
              <wp:effectExtent l="0" t="0" r="0" b="0"/>
              <wp:wrapNone/>
              <wp:docPr id="1" name="文本框 3"/>
              <wp:cNvGraphicFramePr/>
              <a:graphic xmlns:a="http://schemas.openxmlformats.org/drawingml/2006/main">
                <a:graphicData uri="http://schemas.microsoft.com/office/word/2010/wordprocessingShape">
                  <wps:wsp>
                    <wps:cNvSpPr txBox="1"/>
                    <wps:spPr>
                      <a:xfrm>
                        <a:off x="0" y="0"/>
                        <a:ext cx="448945" cy="223520"/>
                      </a:xfrm>
                      <a:prstGeom prst="rect">
                        <a:avLst/>
                      </a:prstGeom>
                      <a:noFill/>
                      <a:ln w="12700">
                        <a:noFill/>
                      </a:ln>
                    </wps:spPr>
                    <wps:txbx>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vert="horz" wrap="square" lIns="0" tIns="0" rIns="0" bIns="0" anchor="t" anchorCtr="0"/>
                  </wps:wsp>
                </a:graphicData>
              </a:graphic>
            </wp:anchor>
          </w:drawing>
        </mc:Choice>
        <mc:Fallback>
          <w:pict>
            <v:shape id="文本框 3" o:spid="_x0000_s1026" o:spt="202" type="#_x0000_t202" style="position:absolute;left:0pt;margin-top:-15.65pt;height:17.6pt;width:35.35pt;mso-position-horizontal:outside;mso-position-horizontal-relative:margin;z-index:251659264;mso-width-relative:page;mso-height-relative:page;" filled="f" stroked="f" coordsize="21600,21600" o:gfxdata="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xp7K1gAAAAUBAAAPAAAA&#10;AAAAAAEAIAAAACIAAABkcnMvZG93bnJldi54bWxQSwECFAAUAAAACACHTuJAH21DKt4BAACqAwAA&#10;DgAAAAAAAAABACAAAAAlAQAAZHJzL2Uyb0RvYy54bWxQSwUGAAAAAAYABgBZAQAAdQUAAAAA&#10;">
              <v:fill on="f" focussize="0,0"/>
              <v:stroke on="f" weight="1pt"/>
              <v:imagedata o:title=""/>
              <o:lock v:ext="edit" aspectratio="f"/>
              <v:textbox inset="0mm,0mm,0mm,0mm">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6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3D6FA8"/>
    <w:rsid w:val="00084815"/>
    <w:rsid w:val="000E17F7"/>
    <w:rsid w:val="000E1948"/>
    <w:rsid w:val="00113816"/>
    <w:rsid w:val="00175B6E"/>
    <w:rsid w:val="001A39C7"/>
    <w:rsid w:val="00595585"/>
    <w:rsid w:val="00595A56"/>
    <w:rsid w:val="00686A79"/>
    <w:rsid w:val="007C1C60"/>
    <w:rsid w:val="00854B80"/>
    <w:rsid w:val="009844D8"/>
    <w:rsid w:val="00A27C73"/>
    <w:rsid w:val="00AB176E"/>
    <w:rsid w:val="00B148F2"/>
    <w:rsid w:val="00B65672"/>
    <w:rsid w:val="00CA2210"/>
    <w:rsid w:val="00CF69C9"/>
    <w:rsid w:val="00E61050"/>
    <w:rsid w:val="00EC2A2B"/>
    <w:rsid w:val="00FF4CEF"/>
    <w:rsid w:val="010757A5"/>
    <w:rsid w:val="01E879E2"/>
    <w:rsid w:val="04112257"/>
    <w:rsid w:val="07FD5D01"/>
    <w:rsid w:val="08D94D4E"/>
    <w:rsid w:val="0AA00666"/>
    <w:rsid w:val="0B5D7332"/>
    <w:rsid w:val="0B5E06F0"/>
    <w:rsid w:val="0D72202B"/>
    <w:rsid w:val="0D8B4322"/>
    <w:rsid w:val="11292CE9"/>
    <w:rsid w:val="13833596"/>
    <w:rsid w:val="13F00F62"/>
    <w:rsid w:val="14F6522D"/>
    <w:rsid w:val="16DF6675"/>
    <w:rsid w:val="1824197A"/>
    <w:rsid w:val="184C55D7"/>
    <w:rsid w:val="19F40E2D"/>
    <w:rsid w:val="1B0B1D41"/>
    <w:rsid w:val="1B882165"/>
    <w:rsid w:val="1C295A11"/>
    <w:rsid w:val="1DB00E47"/>
    <w:rsid w:val="1E7E6E90"/>
    <w:rsid w:val="1EB54031"/>
    <w:rsid w:val="1FDC43B1"/>
    <w:rsid w:val="21345820"/>
    <w:rsid w:val="2162724E"/>
    <w:rsid w:val="220725E0"/>
    <w:rsid w:val="221369A1"/>
    <w:rsid w:val="23C913EF"/>
    <w:rsid w:val="2E1F0DB8"/>
    <w:rsid w:val="2F6D763E"/>
    <w:rsid w:val="30815CE6"/>
    <w:rsid w:val="308E5DD2"/>
    <w:rsid w:val="35F25B89"/>
    <w:rsid w:val="367B6017"/>
    <w:rsid w:val="36E63696"/>
    <w:rsid w:val="39215D37"/>
    <w:rsid w:val="3B0E1700"/>
    <w:rsid w:val="3CF135B1"/>
    <w:rsid w:val="3D75611D"/>
    <w:rsid w:val="43023801"/>
    <w:rsid w:val="43CB68D8"/>
    <w:rsid w:val="44D01A3C"/>
    <w:rsid w:val="467756F0"/>
    <w:rsid w:val="49662783"/>
    <w:rsid w:val="4B0059EB"/>
    <w:rsid w:val="4C0C6A32"/>
    <w:rsid w:val="4C3D6FA8"/>
    <w:rsid w:val="4D6D11B6"/>
    <w:rsid w:val="4D806ED1"/>
    <w:rsid w:val="4E5D0445"/>
    <w:rsid w:val="51AC6849"/>
    <w:rsid w:val="51F20B32"/>
    <w:rsid w:val="52C60891"/>
    <w:rsid w:val="53536671"/>
    <w:rsid w:val="53756096"/>
    <w:rsid w:val="54A45B76"/>
    <w:rsid w:val="56120BCC"/>
    <w:rsid w:val="56424C45"/>
    <w:rsid w:val="57A47A85"/>
    <w:rsid w:val="5A2F5F62"/>
    <w:rsid w:val="5A993A0A"/>
    <w:rsid w:val="5B6062C0"/>
    <w:rsid w:val="5B9869EF"/>
    <w:rsid w:val="5C377C7E"/>
    <w:rsid w:val="5D13037F"/>
    <w:rsid w:val="5FBA3E3A"/>
    <w:rsid w:val="62215C2C"/>
    <w:rsid w:val="623B6EE5"/>
    <w:rsid w:val="62820677"/>
    <w:rsid w:val="62956E42"/>
    <w:rsid w:val="64263357"/>
    <w:rsid w:val="64C077A3"/>
    <w:rsid w:val="65B740EF"/>
    <w:rsid w:val="65E25CF5"/>
    <w:rsid w:val="69370D1F"/>
    <w:rsid w:val="6A55307A"/>
    <w:rsid w:val="6B9C0775"/>
    <w:rsid w:val="6EAC7E86"/>
    <w:rsid w:val="6ECD5A9C"/>
    <w:rsid w:val="725361E2"/>
    <w:rsid w:val="72966C0C"/>
    <w:rsid w:val="72ED7D67"/>
    <w:rsid w:val="741728EF"/>
    <w:rsid w:val="74357BB6"/>
    <w:rsid w:val="75647EFD"/>
    <w:rsid w:val="75DB5FB0"/>
    <w:rsid w:val="76104906"/>
    <w:rsid w:val="785944A0"/>
    <w:rsid w:val="7AD12289"/>
    <w:rsid w:val="7B010ED4"/>
    <w:rsid w:val="7D0574B7"/>
    <w:rsid w:val="7E1B1E5A"/>
    <w:rsid w:val="7E61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iPriority="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0"/>
    <w:pPr>
      <w:spacing w:line="600" w:lineRule="exact"/>
      <w:ind w:firstLine="630"/>
    </w:pPr>
    <w:rPr>
      <w:rFonts w:ascii="Times New Roman" w:hAnsi="Times New Roman" w:eastAsia="仿宋_GB2312" w:cs="Times New Roman"/>
      <w:sz w:val="32"/>
      <w:szCs w:val="20"/>
    </w:rPr>
  </w:style>
  <w:style w:type="paragraph" w:styleId="3">
    <w:name w:val="Body Text Indent 2"/>
    <w:basedOn w:val="1"/>
    <w:link w:val="14"/>
    <w:unhideWhenUsed/>
    <w:qFormat/>
    <w:uiPriority w:val="99"/>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0">
    <w:name w:val="Emphasis"/>
    <w:basedOn w:val="9"/>
    <w:qFormat/>
    <w:uiPriority w:val="20"/>
    <w:rPr>
      <w:i/>
      <w:iCs/>
    </w:rPr>
  </w:style>
  <w:style w:type="character" w:styleId="11">
    <w:name w:val="Hyperlink"/>
    <w:basedOn w:val="9"/>
    <w:qFormat/>
    <w:uiPriority w:val="0"/>
    <w:rPr>
      <w:color w:val="0000FF"/>
      <w:u w:val="single"/>
    </w:rPr>
  </w:style>
  <w:style w:type="paragraph" w:customStyle="1" w:styleId="12">
    <w:name w:val="样式 正文 + 首行缩进:  2 字符"/>
    <w:basedOn w:val="13"/>
    <w:qFormat/>
    <w:uiPriority w:val="0"/>
    <w:pPr>
      <w:keepNext/>
      <w:keepLines/>
      <w:spacing w:line="360" w:lineRule="auto"/>
      <w:ind w:firstLine="880" w:firstLineChars="200"/>
      <w:jc w:val="left"/>
    </w:pPr>
    <w:rPr>
      <w:rFonts w:ascii="宋体" w:hAnsi="宋体"/>
      <w:kern w:val="0"/>
    </w:rPr>
  </w:style>
  <w:style w:type="paragraph" w:customStyle="1" w:styleId="13">
    <w:name w:val="正文1"/>
    <w:qFormat/>
    <w:uiPriority w:val="0"/>
    <w:pPr>
      <w:jc w:val="both"/>
    </w:pPr>
    <w:rPr>
      <w:rFonts w:ascii="Calibri" w:hAnsi="Calibri" w:eastAsia="宋体" w:cs="宋体"/>
      <w:kern w:val="2"/>
      <w:sz w:val="21"/>
      <w:szCs w:val="21"/>
      <w:lang w:val="en-US" w:eastAsia="zh-CN" w:bidi="ar-SA"/>
    </w:rPr>
  </w:style>
  <w:style w:type="character" w:customStyle="1" w:styleId="14">
    <w:name w:val="正文文本缩进 2 字符"/>
    <w:basedOn w:val="9"/>
    <w:link w:val="3"/>
    <w:qFormat/>
    <w:uiPriority w:val="0"/>
    <w:rPr>
      <w:rFonts w:hint="default" w:ascii="Calibri" w:hAnsi="Calibri" w:eastAsia="宋体" w:cs="Times New Roman"/>
      <w:kern w:val="2"/>
      <w:sz w:val="21"/>
      <w:szCs w:val="22"/>
    </w:rPr>
  </w:style>
  <w:style w:type="character" w:customStyle="1" w:styleId="15">
    <w:name w:val="正文文本缩进 字符"/>
    <w:basedOn w:val="9"/>
    <w:link w:val="2"/>
    <w:qFormat/>
    <w:uiPriority w:val="0"/>
    <w:rPr>
      <w:rFonts w:hint="default" w:ascii="Times New Roman" w:hAnsi="Times New Roman" w:eastAsia="仿宋_GB2312" w:cs="Times New Roman"/>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Pages>
  <Words>110</Words>
  <Characters>629</Characters>
  <Lines>5</Lines>
  <Paragraphs>1</Paragraphs>
  <TotalTime>37</TotalTime>
  <ScaleCrop>false</ScaleCrop>
  <LinksUpToDate>false</LinksUpToDate>
  <CharactersWithSpaces>738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2024-03-26T10:29:00Z</dcterms:created>
  <dc:creator>官威</dc:creator>
  <cp:lastModifiedBy>韦小虔</cp:lastModifiedBy>
  <dcterms:modified xsi:type="dcterms:W3CDTF">2024-03-27T10:17:49Z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3DEF5F0FDD494B13B5DBED5E9CB69F05_12</vt:lpwstr>
  </property>
</Properties>
</file>